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62" w:rsidRPr="006B37F0" w:rsidRDefault="006B37F0" w:rsidP="006B37F0">
      <w:pPr>
        <w:spacing w:after="139" w:line="360" w:lineRule="auto"/>
        <w:ind w:left="0" w:firstLine="0"/>
        <w:jc w:val="center"/>
        <w:rPr>
          <w:b/>
        </w:rPr>
      </w:pPr>
      <w:r w:rsidRPr="006B37F0">
        <w:rPr>
          <w:b/>
        </w:rPr>
        <w:t>PROCEDURA UŻYWANIA OSTRYCH NARZĘDZI  I ŚRODKÓW OCHRONY INDYWIDUALNEJ W PRACOWNI UMIEJĘTNOŚCI PIELĘGNIARSKIEJ</w:t>
      </w:r>
    </w:p>
    <w:p w:rsidR="00FD2C62" w:rsidRPr="006B37F0" w:rsidRDefault="006B37F0" w:rsidP="006B37F0">
      <w:pPr>
        <w:spacing w:after="3" w:line="360" w:lineRule="auto"/>
        <w:ind w:left="10" w:right="6" w:hanging="10"/>
        <w:jc w:val="center"/>
      </w:pPr>
      <w:r w:rsidRPr="006B37F0">
        <w:rPr>
          <w:rFonts w:eastAsia="Cambria"/>
          <w:b/>
        </w:rPr>
        <w:t>UNIWERSYTETU HUMANISTYCZNO-PRZYRODNICZEGO IM. JANA DŁUGOSZA</w:t>
      </w:r>
    </w:p>
    <w:p w:rsidR="00FD2C62" w:rsidRPr="006B37F0" w:rsidRDefault="006B37F0" w:rsidP="006B37F0">
      <w:pPr>
        <w:spacing w:after="3" w:line="360" w:lineRule="auto"/>
        <w:ind w:left="10" w:right="2" w:hanging="10"/>
        <w:jc w:val="center"/>
        <w:rPr>
          <w:rFonts w:eastAsia="Cambria"/>
          <w:b/>
          <w:sz w:val="28"/>
        </w:rPr>
      </w:pPr>
      <w:r w:rsidRPr="006B37F0">
        <w:rPr>
          <w:rFonts w:eastAsia="Cambria"/>
          <w:b/>
        </w:rPr>
        <w:t>W CZĘSTOCHOWIE</w:t>
      </w:r>
    </w:p>
    <w:p w:rsidR="006B37F0" w:rsidRPr="006B37F0" w:rsidRDefault="006B37F0" w:rsidP="006B37F0">
      <w:pPr>
        <w:spacing w:after="3" w:line="360" w:lineRule="auto"/>
        <w:ind w:left="10" w:right="2" w:hanging="10"/>
        <w:jc w:val="center"/>
        <w:rPr>
          <w:rFonts w:eastAsia="Cambria"/>
          <w:b/>
          <w:sz w:val="28"/>
        </w:rPr>
      </w:pPr>
      <w:r w:rsidRPr="006B37F0">
        <w:rPr>
          <w:rFonts w:eastAsia="Cambria"/>
          <w:b/>
          <w:sz w:val="28"/>
        </w:rPr>
        <w:t>Wydział Nauk o Zdrowiu</w:t>
      </w:r>
    </w:p>
    <w:p w:rsidR="00FD2C62" w:rsidRPr="006B37F0" w:rsidRDefault="006B37F0" w:rsidP="006B37F0">
      <w:pPr>
        <w:spacing w:after="3" w:line="360" w:lineRule="auto"/>
        <w:ind w:left="10" w:right="2" w:hanging="10"/>
        <w:jc w:val="center"/>
      </w:pPr>
      <w:r w:rsidRPr="006B37F0">
        <w:rPr>
          <w:rFonts w:eastAsia="Cambria"/>
          <w:b/>
          <w:sz w:val="28"/>
        </w:rPr>
        <w:t>Zakład Pielęgniarstwa</w:t>
      </w:r>
      <w:r w:rsidRPr="006B37F0">
        <w:rPr>
          <w:rFonts w:eastAsia="Calibri"/>
          <w:b/>
          <w:sz w:val="28"/>
        </w:rPr>
        <w:t xml:space="preserve"> </w:t>
      </w:r>
      <w:r w:rsidRPr="006B37F0">
        <w:t xml:space="preserve"> </w:t>
      </w:r>
    </w:p>
    <w:p w:rsidR="00FD2C62" w:rsidRPr="006B37F0" w:rsidRDefault="006B37F0" w:rsidP="006B37F0">
      <w:pPr>
        <w:pStyle w:val="Nagwek1"/>
        <w:spacing w:after="181" w:line="360" w:lineRule="auto"/>
        <w:ind w:left="-5"/>
        <w:jc w:val="both"/>
      </w:pPr>
      <w:r w:rsidRPr="006B37F0">
        <w:t xml:space="preserve">Zastosowanie </w:t>
      </w:r>
    </w:p>
    <w:p w:rsidR="00FD2C62" w:rsidRPr="006B37F0" w:rsidRDefault="006B37F0" w:rsidP="006B37F0">
      <w:pPr>
        <w:spacing w:after="177" w:line="360" w:lineRule="auto"/>
        <w:ind w:left="0" w:firstLine="706"/>
        <w:jc w:val="both"/>
      </w:pPr>
      <w:r w:rsidRPr="006B37F0">
        <w:t xml:space="preserve">Celem procedury jest redukcja ryzyka narażenia na zranienie ostrymi narzędziami oraz ochrona Nauczyciela akademickiego/ Studenta przed szkodliwymi czynnikami biologicznymi podczas zajęć w Pracowni Umiejętności Pielęgniarskich </w:t>
      </w:r>
    </w:p>
    <w:p w:rsidR="00FD2C62" w:rsidRPr="006B37F0" w:rsidRDefault="006B37F0" w:rsidP="006B37F0">
      <w:pPr>
        <w:pStyle w:val="Nagwek1"/>
        <w:spacing w:line="360" w:lineRule="auto"/>
        <w:ind w:left="-5" w:right="6734"/>
        <w:jc w:val="both"/>
      </w:pPr>
      <w:r w:rsidRPr="006B37F0">
        <w:t xml:space="preserve">Zalecenia ogólne Ostre narzędzia  </w:t>
      </w:r>
    </w:p>
    <w:p w:rsidR="00FD2C62" w:rsidRPr="006B37F0" w:rsidRDefault="006B37F0" w:rsidP="006B37F0">
      <w:pPr>
        <w:numPr>
          <w:ilvl w:val="0"/>
          <w:numId w:val="1"/>
        </w:numPr>
        <w:spacing w:line="360" w:lineRule="auto"/>
        <w:ind w:left="1113" w:hanging="422"/>
        <w:jc w:val="both"/>
      </w:pPr>
      <w:r w:rsidRPr="006B37F0">
        <w:t xml:space="preserve">Narzędzia należy umieszczać na tackach w taki sposób, aby ich ostre części nie wystawały poza krawędzie tacy. </w:t>
      </w:r>
    </w:p>
    <w:p w:rsidR="00FD2C62" w:rsidRPr="006B37F0" w:rsidRDefault="006B37F0" w:rsidP="006B37F0">
      <w:pPr>
        <w:numPr>
          <w:ilvl w:val="0"/>
          <w:numId w:val="1"/>
        </w:numPr>
        <w:spacing w:line="360" w:lineRule="auto"/>
        <w:ind w:left="1113" w:hanging="422"/>
        <w:jc w:val="both"/>
      </w:pPr>
      <w:r w:rsidRPr="006B37F0">
        <w:t xml:space="preserve">Do przekładania narzędzi należy używać szczypiec, pęset lub innych przyrządów, a w celu przełożenia narzędzi z tac do większych pojemników można przechylić tacę; przy wykonywaniu tych czynności nie należy brać narzędzi bezpośrednio do ręki; przed wycieraniem narzędzi należy upewnić się, że ich ostre części nie są zwrócone w kierunku osoby wykonującej tę czynność. </w:t>
      </w:r>
    </w:p>
    <w:p w:rsidR="00FD2C62" w:rsidRPr="006B37F0" w:rsidRDefault="006B37F0" w:rsidP="006B37F0">
      <w:pPr>
        <w:numPr>
          <w:ilvl w:val="0"/>
          <w:numId w:val="1"/>
        </w:numPr>
        <w:spacing w:line="360" w:lineRule="auto"/>
        <w:ind w:left="1113" w:hanging="422"/>
        <w:jc w:val="both"/>
      </w:pPr>
      <w:r w:rsidRPr="006B37F0">
        <w:t xml:space="preserve">Przy pakowaniu narzędzi do torebek sterylizacyjnych należy je chwytać za rączkę w jak największej odległości od ostrych powierzchni danego narzędzia; </w:t>
      </w:r>
    </w:p>
    <w:p w:rsidR="00FD2C62" w:rsidRPr="006B37F0" w:rsidRDefault="006B37F0" w:rsidP="006B37F0">
      <w:pPr>
        <w:numPr>
          <w:ilvl w:val="0"/>
          <w:numId w:val="1"/>
        </w:numPr>
        <w:spacing w:line="360" w:lineRule="auto"/>
        <w:ind w:left="1113" w:hanging="422"/>
        <w:jc w:val="both"/>
      </w:pPr>
      <w:r w:rsidRPr="006B37F0">
        <w:t xml:space="preserve">Podczas pracy z ostrymi narzędziami należy unikać sytuacji, gdy pole działania będzie poza zasięgiem wzroku pracownika wykonującego daną czynność; </w:t>
      </w:r>
    </w:p>
    <w:p w:rsidR="00FD2C62" w:rsidRPr="006B37F0" w:rsidRDefault="006B37F0" w:rsidP="006B37F0">
      <w:pPr>
        <w:numPr>
          <w:ilvl w:val="0"/>
          <w:numId w:val="1"/>
        </w:numPr>
        <w:spacing w:after="161" w:line="360" w:lineRule="auto"/>
        <w:ind w:left="1113" w:hanging="422"/>
        <w:jc w:val="both"/>
      </w:pPr>
      <w:r w:rsidRPr="006B37F0">
        <w:t xml:space="preserve">Po użyciu igły nie należy nakładać na nią ponownie osłonki. </w:t>
      </w:r>
    </w:p>
    <w:p w:rsidR="00FD2C62" w:rsidRPr="006B37F0" w:rsidRDefault="006B37F0" w:rsidP="006B37F0">
      <w:pPr>
        <w:numPr>
          <w:ilvl w:val="0"/>
          <w:numId w:val="1"/>
        </w:numPr>
        <w:spacing w:after="27" w:line="360" w:lineRule="auto"/>
        <w:ind w:left="1113" w:hanging="422"/>
        <w:jc w:val="both"/>
      </w:pPr>
      <w:r w:rsidRPr="006B37F0">
        <w:t>Po wykonaniu iniekcji nie należy zdejmować igieł ze strzykawek; usuwać igły ze strzykawek można tylko wtedy, kiedy jest to niezbędne</w:t>
      </w:r>
      <w:r w:rsidRPr="006B37F0">
        <w:rPr>
          <w:color w:val="04FF10"/>
        </w:rPr>
        <w:t xml:space="preserve">, </w:t>
      </w:r>
      <w:r w:rsidRPr="006B37F0">
        <w:t xml:space="preserve">np. przy przenoszeniu pobranej krwi do innego pojemnika. </w:t>
      </w:r>
    </w:p>
    <w:p w:rsidR="00FD2C62" w:rsidRPr="006B37F0" w:rsidRDefault="006B37F0" w:rsidP="006B37F0">
      <w:pPr>
        <w:numPr>
          <w:ilvl w:val="0"/>
          <w:numId w:val="1"/>
        </w:numPr>
        <w:spacing w:line="360" w:lineRule="auto"/>
        <w:ind w:left="1113" w:hanging="422"/>
        <w:jc w:val="both"/>
      </w:pPr>
      <w:r w:rsidRPr="006B37F0">
        <w:t xml:space="preserve">Należy wyrzucać ostre zużyte narzędzia do odpowiednich pojemników natychmiast po ich użyciu; pojemniki te powinny być umieszczane w bezpiecznych miejscach, </w:t>
      </w:r>
      <w:r w:rsidRPr="006B37F0">
        <w:lastRenderedPageBreak/>
        <w:t xml:space="preserve">niedostępnych dla osób postronnych, jednak tak blisko miejsca pracy jak to możliwe; powinny być one odporne na przebicie, odpowiednio głębokie i duże. </w:t>
      </w:r>
    </w:p>
    <w:p w:rsidR="00FD2C62" w:rsidRPr="006B37F0" w:rsidRDefault="006B37F0" w:rsidP="006B37F0">
      <w:pPr>
        <w:numPr>
          <w:ilvl w:val="0"/>
          <w:numId w:val="1"/>
        </w:numPr>
        <w:spacing w:after="27" w:line="360" w:lineRule="auto"/>
        <w:ind w:left="1113" w:hanging="422"/>
        <w:jc w:val="both"/>
      </w:pPr>
      <w:r w:rsidRPr="006B37F0">
        <w:t xml:space="preserve">Należy dbać, aby pojemniki z ostrymi narzędziami były odpowiednio oznaczone i wypełnione maksymalnie w 2/3 swojej objętości; zapełnione pojemniki powinny być dokładnie zamykane, odpowiednio magazynowane (jak odpady potencjalnie zakaźne) i natychmiast zastąpione nowymi.  </w:t>
      </w:r>
    </w:p>
    <w:p w:rsidR="00FD2C62" w:rsidRPr="006B37F0" w:rsidRDefault="006B37F0" w:rsidP="006B37F0">
      <w:pPr>
        <w:pStyle w:val="Nagwek1"/>
        <w:spacing w:after="117" w:line="360" w:lineRule="auto"/>
        <w:ind w:left="-5"/>
        <w:jc w:val="both"/>
      </w:pPr>
      <w:r w:rsidRPr="006B37F0">
        <w:t xml:space="preserve">Odzież ochronna </w:t>
      </w:r>
    </w:p>
    <w:p w:rsidR="00FD2C62" w:rsidRPr="006B37F0" w:rsidRDefault="006B37F0" w:rsidP="006B37F0">
      <w:pPr>
        <w:numPr>
          <w:ilvl w:val="0"/>
          <w:numId w:val="2"/>
        </w:numPr>
        <w:spacing w:after="161" w:line="360" w:lineRule="auto"/>
        <w:ind w:left="720" w:hanging="360"/>
        <w:jc w:val="both"/>
      </w:pPr>
      <w:r w:rsidRPr="006B37F0">
        <w:t xml:space="preserve">Przed przystąpieniem do zajęć należy założyć fartuch ochronny. </w:t>
      </w:r>
    </w:p>
    <w:p w:rsidR="00FD2C62" w:rsidRPr="006B37F0" w:rsidRDefault="006B37F0" w:rsidP="006B37F0">
      <w:pPr>
        <w:numPr>
          <w:ilvl w:val="0"/>
          <w:numId w:val="2"/>
        </w:numPr>
        <w:spacing w:line="360" w:lineRule="auto"/>
        <w:ind w:left="720" w:hanging="360"/>
        <w:jc w:val="both"/>
      </w:pPr>
      <w:r w:rsidRPr="006B37F0">
        <w:t xml:space="preserve">Należy założyć obuwie zmienne z płaską podeszwą, zapobiegającą poślizgnięciu i zakrywające palce stóp. </w:t>
      </w:r>
    </w:p>
    <w:p w:rsidR="00FD2C62" w:rsidRPr="006B37F0" w:rsidRDefault="006B37F0" w:rsidP="006B37F0">
      <w:pPr>
        <w:pStyle w:val="Nagwek1"/>
        <w:spacing w:after="150" w:line="360" w:lineRule="auto"/>
        <w:ind w:left="-5"/>
        <w:jc w:val="both"/>
      </w:pPr>
      <w:r w:rsidRPr="006B37F0">
        <w:t xml:space="preserve">Jednorazowe rękawiczki ochronne </w:t>
      </w:r>
    </w:p>
    <w:p w:rsidR="00FD2C62" w:rsidRPr="006B37F0" w:rsidRDefault="006B37F0" w:rsidP="006B37F0">
      <w:pPr>
        <w:numPr>
          <w:ilvl w:val="0"/>
          <w:numId w:val="3"/>
        </w:numPr>
        <w:spacing w:line="360" w:lineRule="auto"/>
        <w:ind w:hanging="283"/>
        <w:jc w:val="both"/>
      </w:pPr>
      <w:r w:rsidRPr="006B37F0">
        <w:t xml:space="preserve">Rękawiczki ochronne powinny być stosowane, szczególnie podczas wykonywania procedur medycznych związanych z ryzykiem kontaktu z materiałem potencjalnie zakaźnym. Należy pamiętać, że rękawiczki ochronne nie zabezpieczą przed urazami bądź zranieniami, ale stosowanie ich może zminimalizować wielkość zakłucia, a tym samym zredukować istotnie ryzyko transmisji zakażenia krwiopochodnego. W razie przypadkowego zakłucia i kontaktu z krwią pacjenta rękawiczki ochronne należy jak najszybciej zdjąć i umyć ręce pod bieżącą wodą. </w:t>
      </w:r>
    </w:p>
    <w:p w:rsidR="00FD2C62" w:rsidRPr="006B37F0" w:rsidRDefault="006B37F0" w:rsidP="006B37F0">
      <w:pPr>
        <w:numPr>
          <w:ilvl w:val="0"/>
          <w:numId w:val="3"/>
        </w:numPr>
        <w:spacing w:line="360" w:lineRule="auto"/>
        <w:ind w:hanging="283"/>
        <w:jc w:val="both"/>
      </w:pPr>
      <w:r w:rsidRPr="006B37F0">
        <w:t xml:space="preserve">W miejscu pracy poza rękawiczkami lateksowymi powinny być dostępne rękawiczki syntetyczne dla osób uczulonych.  </w:t>
      </w:r>
    </w:p>
    <w:p w:rsidR="00FD2C62" w:rsidRPr="006B37F0" w:rsidRDefault="006B37F0" w:rsidP="006B37F0">
      <w:pPr>
        <w:numPr>
          <w:ilvl w:val="0"/>
          <w:numId w:val="3"/>
        </w:numPr>
        <w:spacing w:after="27" w:line="360" w:lineRule="auto"/>
        <w:ind w:hanging="283"/>
        <w:jc w:val="both"/>
      </w:pPr>
      <w:r w:rsidRPr="006B37F0">
        <w:t xml:space="preserve">Po kontakcie z materiałem zakaźnym rękawiczki należy traktować, jako skażone, tak samo jak wszystkie przedmioty i urządzenia dotykane przez te rękawiczki (np. pipety automatyczne, opakowania odczynników, długopisy, czasomierze itp.). </w:t>
      </w:r>
    </w:p>
    <w:p w:rsidR="00FD2C62" w:rsidRPr="006B37F0" w:rsidRDefault="006B37F0" w:rsidP="006B37F0">
      <w:pPr>
        <w:numPr>
          <w:ilvl w:val="0"/>
          <w:numId w:val="3"/>
        </w:numPr>
        <w:spacing w:line="360" w:lineRule="auto"/>
        <w:ind w:hanging="283"/>
        <w:jc w:val="both"/>
      </w:pPr>
      <w:r w:rsidRPr="006B37F0">
        <w:t xml:space="preserve">Rękawiczki po użyciu umieścić w pojemniku na odpady medyczne oznaczonym kodem 18 01 03  z czerwonym workiem według Instrukcji postępowania z odpadami komunalnymi i medycznymi. </w:t>
      </w:r>
    </w:p>
    <w:p w:rsidR="00FD2C62" w:rsidRPr="006B37F0" w:rsidRDefault="006B37F0" w:rsidP="006B37F0">
      <w:pPr>
        <w:numPr>
          <w:ilvl w:val="0"/>
          <w:numId w:val="3"/>
        </w:numPr>
        <w:spacing w:after="113" w:line="360" w:lineRule="auto"/>
        <w:ind w:hanging="283"/>
        <w:jc w:val="both"/>
      </w:pPr>
      <w:r w:rsidRPr="006B37F0">
        <w:t xml:space="preserve">Każdorazowo przed założeniem i po zdjęciu rękawiczek należy umyć dłonie. </w:t>
      </w:r>
      <w:r w:rsidRPr="006B37F0">
        <w:rPr>
          <w:sz w:val="22"/>
        </w:rPr>
        <w:t xml:space="preserve"> </w:t>
      </w:r>
    </w:p>
    <w:p w:rsidR="006B37F0" w:rsidRDefault="006B37F0" w:rsidP="006B37F0">
      <w:pPr>
        <w:spacing w:after="0" w:line="276" w:lineRule="auto"/>
        <w:ind w:left="0" w:firstLine="0"/>
        <w:jc w:val="both"/>
        <w:rPr>
          <w:sz w:val="22"/>
        </w:rPr>
      </w:pPr>
    </w:p>
    <w:p w:rsidR="006B37F0" w:rsidRPr="006B37F0" w:rsidRDefault="006B37F0" w:rsidP="006B37F0">
      <w:pPr>
        <w:spacing w:after="0" w:line="276" w:lineRule="auto"/>
        <w:ind w:left="0" w:firstLine="0"/>
        <w:jc w:val="both"/>
      </w:pPr>
      <w:r w:rsidRPr="006B37F0">
        <w:rPr>
          <w:sz w:val="22"/>
        </w:rPr>
        <w:t xml:space="preserve">Opracował: dr n. med. Iwona Markiewicz                                                      </w:t>
      </w:r>
    </w:p>
    <w:p w:rsidR="006B37F0" w:rsidRPr="006B37F0" w:rsidRDefault="006B37F0" w:rsidP="006B37F0">
      <w:pPr>
        <w:spacing w:after="0" w:line="276" w:lineRule="auto"/>
        <w:ind w:left="0" w:firstLine="0"/>
        <w:jc w:val="both"/>
        <w:rPr>
          <w:sz w:val="22"/>
        </w:rPr>
      </w:pPr>
    </w:p>
    <w:p w:rsidR="006B37F0" w:rsidRDefault="006B37F0" w:rsidP="006B37F0">
      <w:pPr>
        <w:spacing w:after="0" w:line="276" w:lineRule="auto"/>
        <w:ind w:left="0" w:firstLine="0"/>
        <w:jc w:val="both"/>
        <w:rPr>
          <w:sz w:val="22"/>
        </w:rPr>
      </w:pPr>
      <w:r w:rsidRPr="006B37F0">
        <w:rPr>
          <w:sz w:val="22"/>
        </w:rPr>
        <w:t>Zaktualizował: mgr piel. Adrianna Kosior-Lara</w:t>
      </w:r>
    </w:p>
    <w:p w:rsidR="00A21C24" w:rsidRPr="006B37F0" w:rsidRDefault="00A21C24" w:rsidP="006B37F0">
      <w:pPr>
        <w:spacing w:after="0"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Zatwierdził: prof. dr hab. Wiesław </w:t>
      </w:r>
      <w:proofErr w:type="spellStart"/>
      <w:r>
        <w:rPr>
          <w:sz w:val="22"/>
        </w:rPr>
        <w:t>Pilis</w:t>
      </w:r>
      <w:proofErr w:type="spellEnd"/>
      <w:r>
        <w:rPr>
          <w:sz w:val="22"/>
        </w:rPr>
        <w:t xml:space="preserve"> –Dziekan WNoZ</w:t>
      </w:r>
      <w:bookmarkStart w:id="0" w:name="_GoBack"/>
      <w:bookmarkEnd w:id="0"/>
    </w:p>
    <w:p w:rsidR="00FD2C62" w:rsidRPr="006B37F0" w:rsidRDefault="00FD2C62" w:rsidP="006B37F0">
      <w:pPr>
        <w:spacing w:after="0" w:line="360" w:lineRule="auto"/>
        <w:ind w:left="0" w:firstLine="0"/>
        <w:jc w:val="both"/>
      </w:pPr>
    </w:p>
    <w:p w:rsidR="00FD2C62" w:rsidRPr="006B37F0" w:rsidRDefault="006B37F0" w:rsidP="006B37F0">
      <w:pPr>
        <w:spacing w:after="0" w:line="360" w:lineRule="auto"/>
        <w:ind w:left="0" w:firstLine="0"/>
        <w:jc w:val="both"/>
      </w:pPr>
      <w:r w:rsidRPr="006B37F0">
        <w:t xml:space="preserve"> </w:t>
      </w:r>
    </w:p>
    <w:sectPr w:rsidR="00FD2C62" w:rsidRPr="006B37F0">
      <w:pgSz w:w="11904" w:h="16838"/>
      <w:pgMar w:top="1464" w:right="1412" w:bottom="18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430B"/>
    <w:multiLevelType w:val="hybridMultilevel"/>
    <w:tmpl w:val="8C8A0ED2"/>
    <w:lvl w:ilvl="0" w:tplc="1270DAE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273F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8544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872A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EEA1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4A62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C8E7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8C26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4E79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7E2ECA"/>
    <w:multiLevelType w:val="hybridMultilevel"/>
    <w:tmpl w:val="7D14DDAA"/>
    <w:lvl w:ilvl="0" w:tplc="3D848186">
      <w:start w:val="1"/>
      <w:numFmt w:val="decimal"/>
      <w:lvlText w:val="%1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4725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CB3C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6BA0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4F88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004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CAEB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25A0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6FE1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D15DE4"/>
    <w:multiLevelType w:val="hybridMultilevel"/>
    <w:tmpl w:val="9F2244B6"/>
    <w:lvl w:ilvl="0" w:tplc="8E5E37C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A18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460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C84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C47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AB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E6B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EFE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C0C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62"/>
    <w:rsid w:val="006B37F0"/>
    <w:rsid w:val="00A21C24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CA7A"/>
  <w15:docId w15:val="{1DD0AA85-482D-4BC9-8D99-584606F1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38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cp:lastModifiedBy>Windows User</cp:lastModifiedBy>
  <cp:revision>3</cp:revision>
  <dcterms:created xsi:type="dcterms:W3CDTF">2020-01-08T10:57:00Z</dcterms:created>
  <dcterms:modified xsi:type="dcterms:W3CDTF">2020-01-23T09:37:00Z</dcterms:modified>
</cp:coreProperties>
</file>